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rPr>
          <w:color w:val="0B2545"/>
        </w:rPr>
        <w:t>Borrador – Memo para Comité Ejecutivo</w:t>
      </w:r>
    </w:p>
    <w:p>
      <w:pPr>
        <w:pStyle w:val="Heading1"/>
      </w:pPr>
      <w:r>
        <w:rPr>
          <w:color w:val="0B2545"/>
        </w:rPr>
        <w:t>Asunto: Plan estratégico 2026-2028 y prioridades de inversión</w:t>
      </w:r>
    </w:p>
    <w:p>
      <w:r>
        <w:rPr>
          <w:b/>
        </w:rPr>
        <w:t>Para:</w:t>
      </w:r>
      <w:r>
        <w:t xml:space="preserve"> Lic. Ricardo B. Salinas Pliego, Comité Ejecutivo Grupo Salinas</w:t>
      </w:r>
    </w:p>
    <w:p>
      <w:r>
        <w:rPr>
          <w:b/>
        </w:rPr>
        <w:t>De:</w:t>
      </w:r>
      <w:r>
        <w:t xml:space="preserve"> Dirección General de Estrategia Corporativa</w:t>
      </w:r>
    </w:p>
    <w:p>
      <w:r>
        <w:rPr>
          <w:b/>
        </w:rPr>
        <w:t>Fecha:</w:t>
      </w:r>
      <w:r>
        <w:t xml:space="preserve"> [PENDIENTE – Mayo 2026]</w:t>
      </w:r>
    </w:p>
    <w:p>
      <w:r>
        <w:rPr>
          <w:b/>
        </w:rPr>
        <w:t>Estatus:</w:t>
      </w:r>
      <w:r>
        <w:t xml:space="preserve"> BORRADOR v0.3 – No distribuir</w:t>
      </w:r>
    </w:p>
    <w:p>
      <w:pPr>
        <w:pBdr>
          <w:bottom w:val="single" w:sz="6" w:space="1" w:color="B0B6C2"/>
        </w:pBdr>
      </w:pPr>
    </w:p>
    <w:p>
      <w:pPr>
        <w:pStyle w:val="Heading2"/>
      </w:pPr>
      <w:r>
        <w:rPr>
          <w:color w:val="0B2545"/>
        </w:rPr>
        <w:t>Propósito</w:t>
      </w:r>
    </w:p>
    <w:p>
      <w:r>
        <w:t>Presentar las tres apuestas estratégicas del Grupo para el periodo 2026-2028, con implicaciones de inversión, los compromisos de retorno y los riesgos principales, para decisión del Comité.</w:t>
      </w:r>
    </w:p>
    <w:p>
      <w:pPr>
        <w:pStyle w:val="Heading2"/>
      </w:pPr>
      <w:r>
        <w:rPr>
          <w:color w:val="0B2545"/>
        </w:rPr>
        <w:t>Contexto</w:t>
      </w:r>
    </w:p>
    <w:p>
      <w:r>
        <w:t xml:space="preserve">El Grupo enfrenta un entorno mixto: crecimiento sostenido en Banco Azteca y Totalplay, presión competitiva inédita por parte de fintechs y operadores 5G, y debilitamiento estructural de TV lineal. El mandato del Lic. Salinas ha sido claro: </w:t>
      </w:r>
      <w:r>
        <w:rPr>
          <w:b/>
        </w:rPr>
        <w:t>"Información, no opinión. Y acción, no parálisis."</w:t>
      </w:r>
    </w:p>
    <w:p>
      <w:pPr>
        <w:pStyle w:val="Heading2"/>
      </w:pPr>
      <w:r>
        <w:rPr>
          <w:color w:val="0B2545"/>
        </w:rPr>
        <w:t>Las tres apuestas propuestas</w:t>
      </w:r>
    </w:p>
    <w:p>
      <w:r>
        <w:rPr>
          <w:b/>
        </w:rPr>
        <w:t>Apuesta 1 – Banco Azteca Digital Plus</w:t>
      </w:r>
    </w:p>
    <w:p>
      <w:pPr>
        <w:pStyle w:val="ListBullet"/>
      </w:pPr>
      <w:r>
        <w:t>Inversión: MXN 2,800M en 24 meses.</w:t>
      </w:r>
    </w:p>
    <w:p>
      <w:pPr>
        <w:pStyle w:val="ListBullet"/>
      </w:pPr>
      <w:r>
        <w:t>Objetivo: relanzar app, tarjeta sin anualidad, mejorar onboarding a &lt;10 minutos.</w:t>
      </w:r>
    </w:p>
    <w:p>
      <w:pPr>
        <w:pStyle w:val="ListBullet"/>
      </w:pPr>
      <w:r>
        <w:t>Meta: sumar 4 millones de clientes &lt;35 años para 2028.</w:t>
      </w:r>
    </w:p>
    <w:p>
      <w:pPr>
        <w:pStyle w:val="ListBullet"/>
      </w:pPr>
      <w:r>
        <w:t>Riesgo: ejecución tecnológica y talento.</w:t>
      </w:r>
    </w:p>
    <w:p>
      <w:pPr>
        <w:pStyle w:val="ListBullet"/>
      </w:pPr>
      <w:r>
        <w:t>[PENDIENTE DE INCLUIR CIFRAS DE PAYBACK]</w:t>
      </w:r>
    </w:p>
    <w:p>
      <w:r>
        <w:rPr>
          <w:b/>
        </w:rPr>
        <w:t>Apuesta 2 – Totalplay FTTH Nacional</w:t>
      </w:r>
    </w:p>
    <w:p>
      <w:pPr>
        <w:pStyle w:val="ListBullet"/>
      </w:pPr>
      <w:r>
        <w:t>Inversión: MXN 6,500M adicionales en 3 años.</w:t>
      </w:r>
    </w:p>
    <w:p>
      <w:pPr>
        <w:pStyle w:val="ListBullet"/>
      </w:pPr>
      <w:r>
        <w:t>Objetivo: 95% de base en FTTH, lanzar Totalplay Móvil 5G, reducir churn a &lt;1.5%.</w:t>
      </w:r>
    </w:p>
    <w:p>
      <w:pPr>
        <w:pStyle w:val="ListBullet"/>
      </w:pPr>
      <w:r>
        <w:t>Meta: 8 millones de suscriptores para 2028, ARPU MXN 520.</w:t>
      </w:r>
    </w:p>
    <w:p>
      <w:pPr>
        <w:pStyle w:val="ListBullet"/>
      </w:pPr>
      <w:r>
        <w:t>Riesgo: guerra de precios con Megacable y 5G Home.</w:t>
      </w:r>
    </w:p>
    <w:p>
      <w:r>
        <w:rPr>
          <w:b/>
        </w:rPr>
        <w:t>Apuesta 3 – Transformación Contenidos TV Azteca</w:t>
      </w:r>
    </w:p>
    <w:p>
      <w:pPr>
        <w:pStyle w:val="ListBullet"/>
      </w:pPr>
      <w:r>
        <w:t>Inversión: MXN 1,200M en reestructura y nuevos formatos digitales.</w:t>
      </w:r>
    </w:p>
    <w:p>
      <w:pPr>
        <w:pStyle w:val="ListBullet"/>
      </w:pPr>
      <w:r>
        <w:t>Objetivo: pivotear modelo a streaming + FAST channels, monetización AVOD.</w:t>
      </w:r>
    </w:p>
    <w:p>
      <w:pPr>
        <w:pStyle w:val="ListBullet"/>
      </w:pPr>
      <w:r>
        <w:t>Meta: 40% de ingresos digitales para 2028 (hoy 8%).</w:t>
      </w:r>
    </w:p>
    <w:p>
      <w:pPr>
        <w:pStyle w:val="ListBullet"/>
      </w:pPr>
      <w:r>
        <w:t>Riesgo: caída de audiencias más rápida que migración de modelo.</w:t>
      </w:r>
    </w:p>
    <w:p>
      <w:pPr>
        <w:pStyle w:val="Heading2"/>
      </w:pPr>
      <w:r>
        <w:rPr>
          <w:color w:val="0B2545"/>
        </w:rPr>
        <w:t>Inversión total y financiamiento</w:t>
      </w:r>
    </w:p>
    <w:p>
      <w:pPr>
        <w:pStyle w:val="ListBullet"/>
      </w:pPr>
      <w:r>
        <w:t>CapEx + OpEx adicional: MXN 10,500M en 3 años.</w:t>
      </w:r>
    </w:p>
    <w:p>
      <w:pPr>
        <w:pStyle w:val="ListBullet"/>
      </w:pPr>
      <w:r>
        <w:t>Financiamiento: 60% flujo operativo, 40% deuda corporativa (mercado local).</w:t>
      </w:r>
    </w:p>
    <w:p>
      <w:pPr>
        <w:pStyle w:val="ListBullet"/>
      </w:pPr>
      <w:r>
        <w:t>Impacto en apalancamiento: Deuda/EBITDA de 2.1x a 2.6x (dentro de covenants).</w:t>
      </w:r>
    </w:p>
    <w:p>
      <w:pPr>
        <w:pStyle w:val="Heading2"/>
      </w:pPr>
      <w:r>
        <w:rPr>
          <w:color w:val="0B2545"/>
        </w:rPr>
        <w:t>Indicadores de éxito (propuesta)</w:t>
      </w:r>
    </w:p>
    <w:p>
      <w:pPr>
        <w:pStyle w:val="ListBullet"/>
      </w:pPr>
      <w:r>
        <w:t>[PENDIENTE – definir KPIs específicos por apuesta]</w:t>
      </w:r>
    </w:p>
    <w:p>
      <w:pPr>
        <w:pStyle w:val="ListBullet"/>
      </w:pPr>
      <w:r>
        <w:t>Revisión trimestral en Comité Ejecutivo con semáforo verde/amarillo/rojo.</w:t>
      </w:r>
    </w:p>
    <w:p>
      <w:pPr>
        <w:pStyle w:val="Heading2"/>
      </w:pPr>
      <w:r>
        <w:rPr>
          <w:color w:val="0B2545"/>
        </w:rPr>
        <w:t>Riesgos transversales</w:t>
      </w:r>
    </w:p>
    <w:p>
      <w:pPr>
        <w:pStyle w:val="ListNumber"/>
      </w:pPr>
      <w:r>
        <w:t>Entorno macroeconómico México (inflación, tasas).</w:t>
      </w:r>
    </w:p>
    <w:p>
      <w:pPr>
        <w:pStyle w:val="ListNumber"/>
      </w:pPr>
      <w:r>
        <w:t>Regulatorio (IFT, CNBV, Banxico).</w:t>
      </w:r>
    </w:p>
    <w:p>
      <w:pPr>
        <w:pStyle w:val="ListNumber"/>
      </w:pPr>
      <w:r>
        <w:t>Ciberseguridad (incidentes recientes en bancos mexicanos).</w:t>
      </w:r>
    </w:p>
    <w:p>
      <w:pPr>
        <w:pStyle w:val="ListNumber"/>
      </w:pPr>
      <w:r>
        <w:t>Talento tecnológico – competencia con fintechs y globales.</w:t>
      </w:r>
    </w:p>
    <w:p>
      <w:pPr>
        <w:pStyle w:val="Heading2"/>
      </w:pPr>
      <w:r>
        <w:rPr>
          <w:color w:val="0B2545"/>
        </w:rPr>
        <w:t>Pregunta para el Comité</w:t>
      </w:r>
    </w:p>
    <w:p>
      <w:r>
        <w:t>¿Aprobamos las tres apuestas simultáneamente, o priorizamos Banco Azteca y Totalplay y postergamos TV Azteca a 2027?</w:t>
      </w:r>
    </w:p>
    <w:p>
      <w:pPr>
        <w:pBdr>
          <w:bottom w:val="single" w:sz="6" w:space="1" w:color="B0B6C2"/>
        </w:pBdr>
      </w:pPr>
    </w:p>
    <w:p>
      <w:r>
        <w:rPr>
          <w:b/>
        </w:rPr>
        <w:t>NOTAS DEL REDACTOR:</w:t>
      </w:r>
    </w:p>
    <w:p>
      <w:pPr>
        <w:pStyle w:val="ListBullet"/>
      </w:pPr>
      <w:r>
        <w:t>Falta incluir sección de escenarios adversos.</w:t>
      </w:r>
    </w:p>
    <w:p>
      <w:pPr>
        <w:pStyle w:val="ListBullet"/>
      </w:pPr>
      <w:r>
        <w:t>Falta sección de comparación con benchmarks de grupos mexicanos (Femsa, Alfa, Bimbo).</w:t>
      </w:r>
    </w:p>
    <w:p>
      <w:pPr>
        <w:pStyle w:val="ListBullet"/>
      </w:pPr>
      <w:r>
        <w:t>Revisar tono: el Lic. pide que sea directo, concreto, con cifras. Reducir adjetivos.</w:t>
      </w:r>
    </w:p>
    <w:p>
      <w:r>
        <w:rPr>
          <w:i/>
        </w:rPr>
        <w:t>Borrador preparado por la Dirección de Estrategia Corporativa. No distribuir hasta aprobación del CEO.</w:t>
      </w:r>
    </w:p>
    <w:sectPr w:rsidR="00FC693F" w:rsidRPr="0006063C" w:rsidSect="00034616">
      <w:pgSz w:w="12240" w:h="15840"/>
      <w:pgMar w:top="1134" w:right="1247" w:bottom="1134" w:left="124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B2545"/>
      <w:sz w:val="40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B2545"/>
      <w:sz w:val="30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B2545"/>
      <w:sz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